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58" w:rsidRPr="00CE3E58" w:rsidRDefault="00CE3E58" w:rsidP="00CE3E58">
      <w:pPr>
        <w:widowControl w:val="0"/>
        <w:autoSpaceDE w:val="0"/>
        <w:autoSpaceDN w:val="0"/>
        <w:adjustRightInd w:val="0"/>
        <w:spacing w:after="440"/>
        <w:rPr>
          <w:rFonts w:ascii="Times" w:hAnsi="Times" w:cs="Times"/>
          <w:b/>
          <w:bCs/>
          <w:sz w:val="26"/>
          <w:szCs w:val="26"/>
        </w:rPr>
      </w:pPr>
      <w:proofErr w:type="gramStart"/>
      <w:r>
        <w:rPr>
          <w:rFonts w:ascii="Times" w:hAnsi="Times" w:cs="Times"/>
          <w:b/>
          <w:bCs/>
          <w:sz w:val="26"/>
          <w:szCs w:val="26"/>
        </w:rPr>
        <w:t>§ 4.13   Exemption from registration as a commodity pool operator.</w:t>
      </w:r>
      <w:proofErr w:type="gramEnd"/>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This section is organized as follows: Paragraph (a) of this section specifies the criteria that must be met to qualify for exemption from registration under this section; paragraph (b) of this section governs the notice that must be filed to claim exemption from registration; paragraph (c) of this section sets forth the continuing obligations of a person who has claimed exemption under this section; paragraph (d) of this section specifies information certain persons must provide if they subsequently register; paragraph (e) of this section specifies the effect of registration on a person who has claimed an exemption from registration under this section or who is eligible to claim an exemption from registration hereunder; and paragraph (f) of this section specifies the effect of this section on §4.5 of this chapter.</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(a) A person is not required to register under the Act as a commodity pool operator if:</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(1)(</w:t>
      </w:r>
      <w:proofErr w:type="spellStart"/>
      <w:r w:rsidRPr="00CE3E58">
        <w:rPr>
          <w:rFonts w:ascii="Times" w:hAnsi="Times" w:cs="Times"/>
        </w:rPr>
        <w:t>i</w:t>
      </w:r>
      <w:proofErr w:type="spellEnd"/>
      <w:r w:rsidRPr="00CE3E58">
        <w:rPr>
          <w:rFonts w:ascii="Times" w:hAnsi="Times" w:cs="Times"/>
        </w:rPr>
        <w:t>) It does not receive any compensation or other payment, directly or indirectly, for operating the pool, except reimbursement for the ordinary administrative expenses of operating the pool</w:t>
      </w:r>
      <w:proofErr w:type="gramStart"/>
      <w:r w:rsidRPr="00CE3E58">
        <w:rPr>
          <w:rFonts w:ascii="Times" w:hAnsi="Times" w:cs="Times"/>
        </w:rPr>
        <w:t>;</w:t>
      </w:r>
      <w:proofErr w:type="gramEnd"/>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It operates only one commodity pool at any time</w:t>
      </w:r>
      <w:proofErr w:type="gramStart"/>
      <w:r w:rsidRPr="00CE3E58">
        <w:rPr>
          <w:rFonts w:ascii="Times" w:hAnsi="Times" w:cs="Times"/>
        </w:rPr>
        <w:t>;</w:t>
      </w:r>
      <w:proofErr w:type="gramEnd"/>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(iii) It is not otherwise required to register with the Commission and is not a business affiliate of any person required to register with the Commission; and</w:t>
      </w:r>
    </w:p>
    <w:p w:rsidR="00CE3E58" w:rsidRPr="00CE3E58" w:rsidRDefault="00CE3E58" w:rsidP="00CE3E58">
      <w:pPr>
        <w:widowControl w:val="0"/>
        <w:autoSpaceDE w:val="0"/>
        <w:autoSpaceDN w:val="0"/>
        <w:adjustRightInd w:val="0"/>
        <w:spacing w:after="320"/>
        <w:rPr>
          <w:rFonts w:ascii="Times" w:hAnsi="Times" w:cs="Times"/>
        </w:rPr>
      </w:pPr>
      <w:proofErr w:type="gramStart"/>
      <w:r w:rsidRPr="00CE3E58">
        <w:rPr>
          <w:rFonts w:ascii="Times" w:hAnsi="Times" w:cs="Times"/>
        </w:rPr>
        <w:t>(iv) Neither</w:t>
      </w:r>
      <w:proofErr w:type="gramEnd"/>
      <w:r w:rsidRPr="00CE3E58">
        <w:rPr>
          <w:rFonts w:ascii="Times" w:hAnsi="Times" w:cs="Times"/>
        </w:rPr>
        <w:t xml:space="preserve"> the person nor any other person involved with the pool does any advertising in connection with the pool (for purposes of this section, advertising includes the systematic solicitation of prospective participants by telephone or seminar presentation);</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(2)(</w:t>
      </w:r>
      <w:proofErr w:type="spellStart"/>
      <w:r w:rsidRPr="00CE3E58">
        <w:rPr>
          <w:rFonts w:ascii="Times" w:hAnsi="Times" w:cs="Times"/>
        </w:rPr>
        <w:t>i</w:t>
      </w:r>
      <w:proofErr w:type="spellEnd"/>
      <w:r w:rsidRPr="00CE3E58">
        <w:rPr>
          <w:rFonts w:ascii="Times" w:hAnsi="Times" w:cs="Times"/>
        </w:rPr>
        <w:t>) None of the pools operated by it has more than 15 participants at any time;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The total gross capital contributions it receives for units of participation in all of the pools it operates or that it intends to operate do not in the aggregate exceed $400,000.</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(iii) For the purpose of determining eligibility for exemption under paragraph (a)(2) of this section, the person may exclude the following participants and their contributions:</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(A) The pool's operator, commodity trading advisor, and the principals thereof;</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(B) A child, sibling or parent of any of these participants;</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(C) The spouse of any participant specified in paragraph (a)(2)(iii)(A) or (B) of this section;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(D) Any relative of a participant specified in paragraph (a)(2)(iii)(A), (B) or (C) of this </w:t>
      </w:r>
      <w:r w:rsidRPr="00CE3E58">
        <w:rPr>
          <w:rFonts w:ascii="Times" w:hAnsi="Times" w:cs="Times"/>
        </w:rPr>
        <w:lastRenderedPageBreak/>
        <w:t>section, its spouse or a relative of its spouse, who has the same principal residence as such participant;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(3) For each pool for which the person claims exemption from registration under this paragraph (a)(3):</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spellStart"/>
      <w:r w:rsidRPr="00CE3E58">
        <w:rPr>
          <w:rFonts w:ascii="Times" w:hAnsi="Times" w:cs="Times"/>
        </w:rPr>
        <w:t>i</w:t>
      </w:r>
      <w:proofErr w:type="spellEnd"/>
      <w:r w:rsidRPr="00CE3E58">
        <w:rPr>
          <w:rFonts w:ascii="Times" w:hAnsi="Times" w:cs="Times"/>
        </w:rPr>
        <w:t>) Interests in the pool are exempt from registration under the Securities Act of 1933, and such interests are offered and sold without marketing to the public in the United States</w:t>
      </w:r>
      <w:proofErr w:type="gramStart"/>
      <w:r w:rsidRPr="00CE3E58">
        <w:rPr>
          <w:rFonts w:ascii="Times" w:hAnsi="Times" w:cs="Times"/>
        </w:rPr>
        <w:t>;</w:t>
      </w:r>
      <w:proofErr w:type="gramEnd"/>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(ii) At all times, the pool meets one or the other of the following tests with respect to its commodity interest positions, including positions in security futures products, whether entered into for </w:t>
      </w:r>
      <w:r w:rsidRPr="00CE3E58">
        <w:rPr>
          <w:rFonts w:ascii="Times" w:hAnsi="Times" w:cs="Times"/>
          <w:i/>
          <w:iCs/>
        </w:rPr>
        <w:t xml:space="preserve">bona fide </w:t>
      </w:r>
      <w:r w:rsidRPr="00CE3E58">
        <w:rPr>
          <w:rFonts w:ascii="Times" w:hAnsi="Times" w:cs="Times"/>
        </w:rPr>
        <w:t>hedg</w:t>
      </w:r>
      <w:bookmarkStart w:id="0" w:name="_GoBack"/>
      <w:bookmarkEnd w:id="0"/>
      <w:r w:rsidRPr="00CE3E58">
        <w:rPr>
          <w:rFonts w:ascii="Times" w:hAnsi="Times" w:cs="Times"/>
        </w:rPr>
        <w:t>ing purposes or otherwise:</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(A) The aggregate initial margin, premiums, and required minimum security deposit for retail </w:t>
      </w:r>
      <w:proofErr w:type="spellStart"/>
      <w:r w:rsidRPr="00CE3E58">
        <w:rPr>
          <w:rFonts w:ascii="Times" w:hAnsi="Times" w:cs="Times"/>
        </w:rPr>
        <w:t>forex</w:t>
      </w:r>
      <w:proofErr w:type="spellEnd"/>
      <w:r w:rsidRPr="00CE3E58">
        <w:rPr>
          <w:rFonts w:ascii="Times" w:hAnsi="Times" w:cs="Times"/>
        </w:rPr>
        <w:t xml:space="preserve"> transactions (as defined in §5.1(m) of this chapter) required to establish such positions, determined at the time the most recent position was established, will not exceed 5 percent of the liquidation value of the pool's portfolio, after taking into account unrealized profits and unrealized losses on any such positions it has entered into; </w:t>
      </w:r>
      <w:r w:rsidRPr="00CE3E58">
        <w:rPr>
          <w:rFonts w:ascii="Times" w:hAnsi="Times" w:cs="Times"/>
          <w:i/>
          <w:iCs/>
        </w:rPr>
        <w:t xml:space="preserve">Provided, </w:t>
      </w:r>
      <w:r w:rsidRPr="00CE3E58">
        <w:rPr>
          <w:rFonts w:ascii="Times" w:hAnsi="Times" w:cs="Times"/>
        </w:rPr>
        <w:t>That in the case of an option that is in-the-money at the time of purchase, the in-the-money amount as defined in §190.01(x) of this chapter may be excluded in computing such 5 percent; or</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(B) The aggregate net notional value of such positions, determined at the time the most recent position was established, does not exceed 100 percent of the liquidation value of the pool's portfolio, after taking into account unrealized profits and unrealized losses on any such positions it has entered into. For the purpose of this paragraph:</w:t>
      </w:r>
    </w:p>
    <w:p w:rsidR="00CE3E58" w:rsidRPr="00CE3E58" w:rsidRDefault="00CE3E58" w:rsidP="00CE3E58">
      <w:pPr>
        <w:widowControl w:val="0"/>
        <w:autoSpaceDE w:val="0"/>
        <w:autoSpaceDN w:val="0"/>
        <w:adjustRightInd w:val="0"/>
        <w:spacing w:after="320"/>
        <w:rPr>
          <w:rFonts w:ascii="Times" w:hAnsi="Times" w:cs="Times"/>
        </w:rPr>
      </w:pPr>
      <w:proofErr w:type="gramStart"/>
      <w:r w:rsidRPr="00CE3E58">
        <w:rPr>
          <w:rFonts w:ascii="Times" w:hAnsi="Times" w:cs="Times"/>
        </w:rPr>
        <w:t xml:space="preserve">( </w:t>
      </w:r>
      <w:r w:rsidRPr="00CE3E58">
        <w:rPr>
          <w:rFonts w:ascii="Times" w:hAnsi="Times" w:cs="Times"/>
          <w:i/>
          <w:iCs/>
        </w:rPr>
        <w:t>1</w:t>
      </w:r>
      <w:proofErr w:type="gramEnd"/>
      <w:r w:rsidRPr="00CE3E58">
        <w:rPr>
          <w:rFonts w:ascii="Times" w:hAnsi="Times" w:cs="Times"/>
          <w:i/>
          <w:iCs/>
        </w:rPr>
        <w:t xml:space="preserve"> </w:t>
      </w:r>
      <w:r w:rsidRPr="00CE3E58">
        <w:rPr>
          <w:rFonts w:ascii="Times" w:hAnsi="Times" w:cs="Times"/>
        </w:rPr>
        <w:t xml:space="preserve">) The term “notional value” shall be calculated for each such futures position by multiplying the number of contracts by the size of the contract, in contract units (taking into account any multiplier specified in the contract), by the current market price per unit, and for each such option position by multiplying the number of contracts by the size of the contract, adjusted by its delta, in contract units (taking into account any multiplier specified in the contract), by the strike price per unit, and for each such retail </w:t>
      </w:r>
      <w:proofErr w:type="spellStart"/>
      <w:r w:rsidRPr="00CE3E58">
        <w:rPr>
          <w:rFonts w:ascii="Times" w:hAnsi="Times" w:cs="Times"/>
        </w:rPr>
        <w:t>forex</w:t>
      </w:r>
      <w:proofErr w:type="spellEnd"/>
      <w:r w:rsidRPr="00CE3E58">
        <w:rPr>
          <w:rFonts w:ascii="Times" w:hAnsi="Times" w:cs="Times"/>
        </w:rPr>
        <w:t xml:space="preserve"> transaction, by calculating the value in U.S. Dollars of such transaction, at the time the transaction was established, excluding for this purpose the value in U.S. Dollars of offsetting long and short transactions, if any; and</w:t>
      </w:r>
    </w:p>
    <w:p w:rsidR="00CE3E58" w:rsidRPr="00CE3E58" w:rsidRDefault="00CE3E58" w:rsidP="00CE3E58">
      <w:pPr>
        <w:widowControl w:val="0"/>
        <w:autoSpaceDE w:val="0"/>
        <w:autoSpaceDN w:val="0"/>
        <w:adjustRightInd w:val="0"/>
        <w:spacing w:after="320"/>
        <w:rPr>
          <w:rFonts w:ascii="Times" w:hAnsi="Times" w:cs="Times"/>
        </w:rPr>
      </w:pPr>
      <w:proofErr w:type="gramStart"/>
      <w:r w:rsidRPr="00CE3E58">
        <w:rPr>
          <w:rFonts w:ascii="Times" w:hAnsi="Times" w:cs="Times"/>
        </w:rPr>
        <w:t xml:space="preserve">( </w:t>
      </w:r>
      <w:r w:rsidRPr="00CE3E58">
        <w:rPr>
          <w:rFonts w:ascii="Times" w:hAnsi="Times" w:cs="Times"/>
          <w:i/>
          <w:iCs/>
        </w:rPr>
        <w:t>2</w:t>
      </w:r>
      <w:proofErr w:type="gramEnd"/>
      <w:r w:rsidRPr="00CE3E58">
        <w:rPr>
          <w:rFonts w:ascii="Times" w:hAnsi="Times" w:cs="Times"/>
          <w:i/>
          <w:iCs/>
        </w:rPr>
        <w:t xml:space="preserve"> </w:t>
      </w:r>
      <w:r w:rsidRPr="00CE3E58">
        <w:rPr>
          <w:rFonts w:ascii="Times" w:hAnsi="Times" w:cs="Times"/>
        </w:rPr>
        <w:t>) The person may net contracts with the same underlying commodity across designated contract markets, registered derivatives transaction execution facilities and foreign boards of trade;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(iii) The person reasonably believes, at the time of investment (or, in the case of an existing pool, at the time of conversion to a pool meeting the criteria of paragraph (a)(3) of this section), that each person who participates in the pool is:</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(A) An “accredited investor,” as that term is defined in §230.501 of this title</w:t>
      </w:r>
      <w:proofErr w:type="gramStart"/>
      <w:r w:rsidRPr="00CE3E58">
        <w:rPr>
          <w:rFonts w:ascii="Times" w:hAnsi="Times" w:cs="Times"/>
        </w:rPr>
        <w:t>;</w:t>
      </w:r>
      <w:proofErr w:type="gramEnd"/>
    </w:p>
    <w:p w:rsidR="00CE3E58" w:rsidRPr="00CE3E58" w:rsidRDefault="00CE3E58" w:rsidP="00CE3E58">
      <w:pPr>
        <w:widowControl w:val="0"/>
        <w:autoSpaceDE w:val="0"/>
        <w:autoSpaceDN w:val="0"/>
        <w:adjustRightInd w:val="0"/>
        <w:spacing w:after="320"/>
        <w:rPr>
          <w:rFonts w:ascii="Times" w:hAnsi="Times" w:cs="Times"/>
        </w:rPr>
      </w:pPr>
      <w:proofErr w:type="gramStart"/>
      <w:r w:rsidRPr="00CE3E58">
        <w:rPr>
          <w:rFonts w:ascii="Times" w:hAnsi="Times" w:cs="Times"/>
        </w:rPr>
        <w:t>(B) A trust that is not an accredited investor but that was formed by an accredited investor for the benefit of a family member</w:t>
      </w:r>
      <w:proofErr w:type="gramEnd"/>
      <w:r w:rsidRPr="00CE3E58">
        <w:rPr>
          <w:rFonts w:ascii="Times" w:hAnsi="Times" w:cs="Times"/>
        </w:rPr>
        <w: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(C) A “knowledgeable employee,” as that term is defined in §270.3c–5 of this title</w:t>
      </w:r>
      <w:proofErr w:type="gramStart"/>
      <w:r w:rsidRPr="00CE3E58">
        <w:rPr>
          <w:rFonts w:ascii="Times" w:hAnsi="Times" w:cs="Times"/>
        </w:rPr>
        <w:t>;</w:t>
      </w:r>
      <w:proofErr w:type="gramEnd"/>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(D) A “qualified eligible person,” as that term is defined in §4.7(a)(2)(viii)(A) of this chapter; or</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(E) A person eligible to participate in a pool for which the pool operator can claim exemption from registration under paragraph (a)(4) of this section;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(iv) Participations in the pool are not marketed as or in a vehicle for trading in the commodity futures or commodity options markets; </w:t>
      </w:r>
      <w:r w:rsidRPr="00CE3E58">
        <w:rPr>
          <w:rFonts w:ascii="Times" w:hAnsi="Times" w:cs="Times"/>
          <w:i/>
          <w:iCs/>
        </w:rPr>
        <w:t xml:space="preserve">Provided, </w:t>
      </w:r>
      <w:r w:rsidRPr="00CE3E58">
        <w:rPr>
          <w:rFonts w:ascii="Times" w:hAnsi="Times" w:cs="Times"/>
        </w:rPr>
        <w:t>That nothing in paragraph (a)(3) of this section shall prohibit the person from claiming an exemption under this section if it additionally operates one or more pools for which it meets the criteria of paragraph (a)(4) of this section;</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(4) For each pool for which the person claims exemption from registration under this paragraph (a)(4):</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spellStart"/>
      <w:r w:rsidRPr="00CE3E58">
        <w:rPr>
          <w:rFonts w:ascii="Times" w:hAnsi="Times" w:cs="Times"/>
        </w:rPr>
        <w:t>i</w:t>
      </w:r>
      <w:proofErr w:type="spellEnd"/>
      <w:r w:rsidRPr="00CE3E58">
        <w:rPr>
          <w:rFonts w:ascii="Times" w:hAnsi="Times" w:cs="Times"/>
        </w:rPr>
        <w:t>) Interests in the pool are exempt from registration under the Securities Act of 1933, and such interests are offered and sold without marketing to the public in the United States</w:t>
      </w:r>
      <w:proofErr w:type="gramStart"/>
      <w:r w:rsidRPr="00CE3E58">
        <w:rPr>
          <w:rFonts w:ascii="Times" w:hAnsi="Times" w:cs="Times"/>
        </w:rPr>
        <w:t>;</w:t>
      </w:r>
      <w:proofErr w:type="gramEnd"/>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The person reasonably believes, at the time of investment (or, in the case of an existing pool, at the time of conversion to a pool meeting the criteria of paragraph (a)(4) of this section), that: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(A) Each natural person participant (including such person's self-directed employee benefit plan, if any), is a “qualified eligible person,” as that term is defined in §4.7(a)(2);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(B) Each non-natural person participant is a “qualified eligible person,” as that term is defined in §4.7, or an “accredited investor,” as that term is defined in §230.501(a)(1)-(3), (a)(7) and (a)(8) of this title; </w:t>
      </w:r>
      <w:r w:rsidRPr="00CE3E58">
        <w:rPr>
          <w:rFonts w:ascii="Times" w:hAnsi="Times" w:cs="Times"/>
          <w:i/>
          <w:iCs/>
        </w:rPr>
        <w:t xml:space="preserve">Provided, </w:t>
      </w:r>
      <w:r w:rsidRPr="00CE3E58">
        <w:rPr>
          <w:rFonts w:ascii="Times" w:hAnsi="Times" w:cs="Times"/>
        </w:rPr>
        <w:t>That nothing in paragraph (a)(4) of this section will prohibit the person from claiming an exemption under this section if it additionally operates one or more pools that meet the criteria of paragraph (a)(3) of this section; or</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(5) The person is acting as a director or trustee with respect to a pool whose operator is registered as a commodity pool operator and is eligible to claim relief under §4.12(c) of this chapter, </w:t>
      </w:r>
      <w:r w:rsidRPr="00CE3E58">
        <w:rPr>
          <w:rFonts w:ascii="Times" w:hAnsi="Times" w:cs="Times"/>
          <w:i/>
          <w:iCs/>
        </w:rPr>
        <w:t xml:space="preserve">Provided, however, </w:t>
      </w:r>
      <w:r w:rsidRPr="00CE3E58">
        <w:rPr>
          <w:rFonts w:ascii="Times" w:hAnsi="Times" w:cs="Times"/>
        </w:rPr>
        <w:t>that: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spellStart"/>
      <w:r w:rsidRPr="00CE3E58">
        <w:rPr>
          <w:rFonts w:ascii="Times" w:hAnsi="Times" w:cs="Times"/>
        </w:rPr>
        <w:t>i</w:t>
      </w:r>
      <w:proofErr w:type="spellEnd"/>
      <w:r w:rsidRPr="00CE3E58">
        <w:rPr>
          <w:rFonts w:ascii="Times" w:hAnsi="Times" w:cs="Times"/>
        </w:rPr>
        <w:t>) The person acts in such capacity solely to comply with the requirements under section 10A of the Securities Exchange Act of 1934, as amended, and any Securities and Exchange Commission rules and exchange listing requirements adopted pursuant thereto, that the pool have an audit committee comprised exclusively of independent directors or trustees;</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The person has no power or authority to manage or control the operations or activities of the pool except as necessary to comply with such requirement;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(iii) The registered pool operator of the pool is and will be liable for any violation of the Act or the Commission's regulations by the person in connection with the person's serving as a director or trustee with respect to the pool.</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(6)(</w:t>
      </w:r>
      <w:proofErr w:type="spellStart"/>
      <w:r w:rsidRPr="00CE3E58">
        <w:rPr>
          <w:rFonts w:ascii="Times" w:hAnsi="Times" w:cs="Times"/>
        </w:rPr>
        <w:t>i</w:t>
      </w:r>
      <w:proofErr w:type="spellEnd"/>
      <w:r w:rsidRPr="00CE3E58">
        <w:rPr>
          <w:rFonts w:ascii="Times" w:hAnsi="Times" w:cs="Times"/>
        </w:rPr>
        <w:t>) Eligibility for exemption under paragraph (a)(1), (a)(2), (a)(3) or (a)(4) of this section is subject to the person furnishing in written communication physically delivered or delivered through electronic transmission to each prospective participant in the pool:  *  *  *</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(A) A statement that the person is exempt from registration with the Commission as a commodity pool operator and that therefore, unlike a registered commodity pool operator, it is not required to deliver a Disclosure Document and a certified annual report to participants in the pool;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(B) A description of the criteria pursuant to which it qualifies for such exemption from registration.</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The person must make these disclosures by no later than the time it delivers a subscription agreement for the pool to a prospective participant in the pool.</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gramStart"/>
      <w:r w:rsidRPr="00CE3E58">
        <w:rPr>
          <w:rFonts w:ascii="Times" w:hAnsi="Times" w:cs="Times"/>
        </w:rPr>
        <w:t>b</w:t>
      </w:r>
      <w:proofErr w:type="gramEnd"/>
      <w:r w:rsidRPr="00CE3E58">
        <w:rPr>
          <w:rFonts w:ascii="Times" w:hAnsi="Times" w:cs="Times"/>
        </w:rPr>
        <w:t>)(1) Any person who desires to claim the relief from registration provided by this section, must file electronically a notice of exemption from commodity pool operator registration with the National Futures Association through its electronic exemption filing system. The notice must: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spellStart"/>
      <w:r w:rsidRPr="00CE3E58">
        <w:rPr>
          <w:rFonts w:ascii="Times" w:hAnsi="Times" w:cs="Times"/>
        </w:rPr>
        <w:t>i</w:t>
      </w:r>
      <w:proofErr w:type="spellEnd"/>
      <w:r w:rsidRPr="00CE3E58">
        <w:rPr>
          <w:rFonts w:ascii="Times" w:hAnsi="Times" w:cs="Times"/>
        </w:rPr>
        <w:t>) Provide the name, main business address, main business telephone number, main facsimile number and main email address of the person claiming the exemption and the name of the pool for which it is claiming exemption</w:t>
      </w:r>
      <w:proofErr w:type="gramStart"/>
      <w:r w:rsidRPr="00CE3E58">
        <w:rPr>
          <w:rFonts w:ascii="Times" w:hAnsi="Times" w:cs="Times"/>
        </w:rPr>
        <w:t>;</w:t>
      </w:r>
      <w:proofErr w:type="gramEnd"/>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Contain the section number pursuant to which the operator is filing the notice (i.e., §4.13(a)(1), (a)(2), (a)(3), (a)(4) or (a)(5), or both (a)(3) and (a)(4)) and represent that the pool will be operated in accordance with the criteria of that paragraph or paragraphs;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(iii) Be filed by a representative duly authorized to bind the person.</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(2) The person must file the notice by no later than the time that the pool operator delivers a subscription agreement for the pool to a prospective participant in the pool; </w:t>
      </w:r>
      <w:r w:rsidRPr="00CE3E58">
        <w:rPr>
          <w:rFonts w:ascii="Times" w:hAnsi="Times" w:cs="Times"/>
          <w:i/>
          <w:iCs/>
        </w:rPr>
        <w:t xml:space="preserve">Provided, however, </w:t>
      </w:r>
      <w:r w:rsidRPr="00CE3E58">
        <w:rPr>
          <w:rFonts w:ascii="Times" w:hAnsi="Times" w:cs="Times"/>
        </w:rPr>
        <w:t xml:space="preserve">that in the case of a claim for relief under §4.13(a)(5), the person must file the notice by the later of the effective date of the pool's registration statement under the Securities Act of 1933 or the date on which the person first becomes a director or trustee; and </w:t>
      </w:r>
      <w:r w:rsidRPr="00CE3E58">
        <w:rPr>
          <w:rFonts w:ascii="Times" w:hAnsi="Times" w:cs="Times"/>
          <w:i/>
          <w:iCs/>
        </w:rPr>
        <w:t xml:space="preserve">Provided, further, </w:t>
      </w:r>
      <w:r w:rsidRPr="00CE3E58">
        <w:rPr>
          <w:rFonts w:ascii="Times" w:hAnsi="Times" w:cs="Times"/>
        </w:rPr>
        <w:t>that where a person registered with the Commission as a commodity pool operator intends to withdraw from registration in order to claim exemption hereunder, the person must notify its pool's participants in written communication physically delivered or delivered through electronic transmission that it intends to withdraw from registration and claim the exemption, and it must provide each such participant with a right to redeem its interest in the pool prior to the person filing a notice of exemption from registration</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(3) The notice will be effective upon filing, provided the notice is materially complete.</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(4) Each person who has filed a notice of exemption from registration under this section must, in the event that any of the information contained or representations made in the notice becomes inaccurate or incomplete, amend the notice through National Futures Association's electronic exemption filing system as may be necessary to render the notice accurate and complete. This amendment must be filed electronically within 15 business days after the pool operator becomes aware of the occurrence of such event.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gramStart"/>
      <w:r w:rsidRPr="00CE3E58">
        <w:rPr>
          <w:rFonts w:ascii="Times" w:hAnsi="Times" w:cs="Times"/>
        </w:rPr>
        <w:t>c</w:t>
      </w:r>
      <w:proofErr w:type="gramEnd"/>
      <w:r w:rsidRPr="00CE3E58">
        <w:rPr>
          <w:rFonts w:ascii="Times" w:hAnsi="Times" w:cs="Times"/>
        </w:rPr>
        <w:t>)(1) Each person who has filed a notice of exemption from registration under this section must: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spellStart"/>
      <w:r w:rsidRPr="00CE3E58">
        <w:rPr>
          <w:rFonts w:ascii="Times" w:hAnsi="Times" w:cs="Times"/>
        </w:rPr>
        <w:t>i</w:t>
      </w:r>
      <w:proofErr w:type="spellEnd"/>
      <w:r w:rsidRPr="00CE3E58">
        <w:rPr>
          <w:rFonts w:ascii="Times" w:hAnsi="Times" w:cs="Times"/>
        </w:rPr>
        <w:t>) Make and keep all books and records prepared in connection with its activities as a pool operator for a period of five years from the date of preparation;</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Keep such books and records readily accessible during the first two years of the five-year period. All such books and records must be available for inspection upon the request of any representative of the Commission, the United States Department of Justice, or any other appropriate regulatory agency;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(iii) Submit to such special calls as the Commission may make to demonstrate eligibility for and compliance with the applicable criteria for exemption under this section.</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(2) Each person who has filed a notice of exemption from registration pursuant to paragraph (a)(1) or (a)(2) of this section must: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spellStart"/>
      <w:r w:rsidRPr="00CE3E58">
        <w:rPr>
          <w:rFonts w:ascii="Times" w:hAnsi="Times" w:cs="Times"/>
        </w:rPr>
        <w:t>i</w:t>
      </w:r>
      <w:proofErr w:type="spellEnd"/>
      <w:r w:rsidRPr="00CE3E58">
        <w:rPr>
          <w:rFonts w:ascii="Times" w:hAnsi="Times" w:cs="Times"/>
        </w:rPr>
        <w:t>) Promptly furnish to each participant in the pool a copy of each monthly statement for the pool that the pool operator received from a futures commission merchant pursuant to §1.33 of this chapter;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Clearly show on such statement, or on an accompanying supplemental statement, the net profit or loss on all commodity interests closed since the date of the previous statement.</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(d) Each person who applies for registration as a commodity pool operator subsequent to claiming relief under paragraph (a)(1) or (a)(2) of this section must include with its application the financial statements and other information required by §4.22(c)(1) through (5) for each pool that it has operated as an operator exempt from registration. That information must be presented and computed in accordance with generally accepted accounting principles consistently applied. If the person is granted registration as a commodity pool operator, it must comply with the provisions of this part with respect to each such pool.</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gramStart"/>
      <w:r w:rsidRPr="00CE3E58">
        <w:rPr>
          <w:rFonts w:ascii="Times" w:hAnsi="Times" w:cs="Times"/>
        </w:rPr>
        <w:t>e</w:t>
      </w:r>
      <w:proofErr w:type="gramEnd"/>
      <w:r w:rsidRPr="00CE3E58">
        <w:rPr>
          <w:rFonts w:ascii="Times" w:hAnsi="Times" w:cs="Times"/>
        </w:rPr>
        <w:t>)(1) Subject to the provisions of paragraph (e)(2) of this section, if a person who is eligible for exemption from registration as a commodity pool operator under this section nonetheless registers as a commodity pool operator, the person must comply with the provisions of this part with respect to each commodity pool identified on its registration application or supplement thereto.</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(2) If a person operates one or more commodity pools described in paragraph (a)(3) or (a)(4) of this section, and one or more commodity pools for which it must be, and is, registered as a commodity pool operator, the person is exempt from the requirements applicable to a registered commodity pool operator with respect to the pool or pools described in paragraph (a)(3) or (a)(4) of this section; </w:t>
      </w:r>
      <w:r w:rsidRPr="00CE3E58">
        <w:rPr>
          <w:rFonts w:ascii="Times" w:hAnsi="Times" w:cs="Times"/>
          <w:i/>
          <w:iCs/>
        </w:rPr>
        <w:t xml:space="preserve">Provided, </w:t>
      </w:r>
      <w:r w:rsidRPr="00CE3E58">
        <w:rPr>
          <w:rFonts w:ascii="Times" w:hAnsi="Times" w:cs="Times"/>
        </w:rPr>
        <w:t>That the person:</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w:t>
      </w:r>
      <w:proofErr w:type="spellStart"/>
      <w:r w:rsidRPr="00CE3E58">
        <w:rPr>
          <w:rFonts w:ascii="Times" w:hAnsi="Times" w:cs="Times"/>
        </w:rPr>
        <w:t>i</w:t>
      </w:r>
      <w:proofErr w:type="spellEnd"/>
      <w:r w:rsidRPr="00CE3E58">
        <w:rPr>
          <w:rFonts w:ascii="Times" w:hAnsi="Times" w:cs="Times"/>
        </w:rPr>
        <w:t>) Furnishes in written communication physically delivered or delivered through electronic transmission to each prospective participant in a pool described in paragraph (a)(3) or (a)(4) of this section that it operates:</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(A) A statement that it will operate the pool as if the person was exempt from registration as a commodity pool operator;</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 xml:space="preserve">(B) A description of the criteria pursuant to which it </w:t>
      </w:r>
      <w:proofErr w:type="gramStart"/>
      <w:r w:rsidRPr="00CE3E58">
        <w:rPr>
          <w:rFonts w:ascii="Times" w:hAnsi="Times" w:cs="Times"/>
        </w:rPr>
        <w:t>will</w:t>
      </w:r>
      <w:proofErr w:type="gramEnd"/>
      <w:r w:rsidRPr="00CE3E58">
        <w:rPr>
          <w:rFonts w:ascii="Times" w:hAnsi="Times" w:cs="Times"/>
        </w:rPr>
        <w:t xml:space="preserve"> so operate the pool;</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 Complies with paragraph (c) of this section; and</w:t>
      </w:r>
    </w:p>
    <w:p w:rsidR="00CE3E58" w:rsidRPr="00CE3E58" w:rsidRDefault="00CE3E58" w:rsidP="00CE3E58">
      <w:pPr>
        <w:widowControl w:val="0"/>
        <w:autoSpaceDE w:val="0"/>
        <w:autoSpaceDN w:val="0"/>
        <w:adjustRightInd w:val="0"/>
        <w:spacing w:after="320"/>
        <w:rPr>
          <w:rFonts w:ascii="Times" w:hAnsi="Times" w:cs="Times"/>
        </w:rPr>
      </w:pPr>
      <w:r w:rsidRPr="00CE3E58">
        <w:rPr>
          <w:rFonts w:ascii="Times" w:hAnsi="Times" w:cs="Times"/>
        </w:rPr>
        <w:t>(iii) Provides to each existing participant in a pool that the person elects to operate as described in paragraph (a)(3) or (a)(4) of this section a right to redeem the participant's interest in the pool, and informs each such participant of that right no later than the time the person commences to operate the pool as described in paragraph (a)(3) or (a)(4) of this section.</w:t>
      </w:r>
    </w:p>
    <w:p w:rsidR="00FE3D81" w:rsidRPr="00CE3E58" w:rsidRDefault="00CE3E58" w:rsidP="00CE3E58">
      <w:r w:rsidRPr="00CE3E58">
        <w:rPr>
          <w:rFonts w:ascii="Times" w:hAnsi="Times" w:cs="Times"/>
        </w:rPr>
        <w:t>(f) The filing of a notice of exemption from registration under this section will not affect the ability of a person to qualify for exclusion from the definition of the term “commodity pool operator” under §4.5 in connection with its operation of another trading vehicle that is not covered under this §4.13.</w:t>
      </w:r>
    </w:p>
    <w:sectPr w:rsidR="00FE3D81" w:rsidRPr="00CE3E58" w:rsidSect="00A9180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58"/>
    <w:rsid w:val="00A9180C"/>
    <w:rsid w:val="00CE3E58"/>
    <w:rsid w:val="00FE3D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2305</Words>
  <Characters>13139</Characters>
  <Application>Microsoft Macintosh Word</Application>
  <DocSecurity>0</DocSecurity>
  <Lines>109</Lines>
  <Paragraphs>30</Paragraphs>
  <ScaleCrop>false</ScaleCrop>
  <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Miles</dc:creator>
  <cp:keywords/>
  <dc:description/>
  <cp:lastModifiedBy>Dan Miles</cp:lastModifiedBy>
  <cp:revision>1</cp:revision>
  <dcterms:created xsi:type="dcterms:W3CDTF">2012-04-20T23:27:00Z</dcterms:created>
  <dcterms:modified xsi:type="dcterms:W3CDTF">2012-04-20T23:30:00Z</dcterms:modified>
</cp:coreProperties>
</file>